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6D62" w14:textId="77777777" w:rsidR="00AE4029" w:rsidRDefault="00AE4029" w:rsidP="00AE4029">
      <w:pPr>
        <w:spacing w:line="276" w:lineRule="auto"/>
      </w:pPr>
      <w:r w:rsidRPr="000D0565">
        <w:t>Kearney and Sil</w:t>
      </w:r>
      <w:r>
        <w:t>v</w:t>
      </w:r>
      <w:r w:rsidRPr="000D0565">
        <w:t>erman’s (1990) review of the literature</w:t>
      </w:r>
      <w:r>
        <w:t xml:space="preserve"> suggest </w:t>
      </w:r>
      <w:r w:rsidRPr="000D0565">
        <w:t xml:space="preserve">four main reasons for school avoidance: </w:t>
      </w:r>
    </w:p>
    <w:tbl>
      <w:tblPr>
        <w:tblStyle w:val="TableGrid"/>
        <w:tblW w:w="8878" w:type="dxa"/>
        <w:tblLayout w:type="fixed"/>
        <w:tblLook w:val="04A0" w:firstRow="1" w:lastRow="0" w:firstColumn="1" w:lastColumn="0" w:noHBand="0" w:noVBand="1"/>
      </w:tblPr>
      <w:tblGrid>
        <w:gridCol w:w="2388"/>
        <w:gridCol w:w="3447"/>
        <w:gridCol w:w="3043"/>
      </w:tblGrid>
      <w:tr w:rsidR="00AE4029" w:rsidRPr="00A75A65" w14:paraId="16C17841" w14:textId="77777777" w:rsidTr="006C0641">
        <w:tc>
          <w:tcPr>
            <w:tcW w:w="2388" w:type="dxa"/>
            <w:shd w:val="clear" w:color="auto" w:fill="FAE2D5" w:themeFill="accent2" w:themeFillTint="33"/>
          </w:tcPr>
          <w:p w14:paraId="76123758" w14:textId="77777777" w:rsidR="00AE4029" w:rsidRPr="00A75A65" w:rsidRDefault="00AE4029" w:rsidP="006C0641">
            <w:pPr>
              <w:spacing w:after="120" w:line="276" w:lineRule="auto"/>
              <w:rPr>
                <w:b/>
                <w:bCs/>
                <w:noProof/>
                <w:color w:val="124F1A" w:themeColor="accent3" w:themeShade="BF"/>
              </w:rPr>
            </w:pPr>
            <w:r w:rsidRPr="00A75A65">
              <w:rPr>
                <w:b/>
                <w:bCs/>
                <w:noProof/>
                <w:color w:val="124F1A" w:themeColor="accent3" w:themeShade="BF"/>
              </w:rPr>
              <w:t>Power to enact change</w:t>
            </w:r>
          </w:p>
        </w:tc>
        <w:tc>
          <w:tcPr>
            <w:tcW w:w="3447" w:type="dxa"/>
            <w:shd w:val="clear" w:color="auto" w:fill="95DCF7" w:themeFill="accent4" w:themeFillTint="66"/>
          </w:tcPr>
          <w:p w14:paraId="33E216A4" w14:textId="77777777" w:rsidR="00AE4029" w:rsidRPr="00A75A65" w:rsidRDefault="00AE4029" w:rsidP="006C0641">
            <w:pPr>
              <w:spacing w:after="120" w:line="276" w:lineRule="auto"/>
              <w:rPr>
                <w:b/>
                <w:bCs/>
                <w:noProof/>
                <w:color w:val="124F1A" w:themeColor="accent3" w:themeShade="BF"/>
              </w:rPr>
            </w:pPr>
            <w:r w:rsidRPr="00A75A65">
              <w:rPr>
                <w:b/>
                <w:bCs/>
                <w:color w:val="124F1A" w:themeColor="accent3" w:themeShade="BF"/>
              </w:rPr>
              <w:t>Kearney and Silverman’s (1990) four main reasons for school avoidance</w:t>
            </w:r>
          </w:p>
        </w:tc>
        <w:tc>
          <w:tcPr>
            <w:tcW w:w="3043" w:type="dxa"/>
            <w:shd w:val="clear" w:color="auto" w:fill="60CAF3" w:themeFill="accent4" w:themeFillTint="99"/>
          </w:tcPr>
          <w:p w14:paraId="038B6C2C" w14:textId="77777777" w:rsidR="00AE4029" w:rsidRPr="00A75A65" w:rsidRDefault="00AE4029" w:rsidP="006C0641">
            <w:pPr>
              <w:spacing w:after="120" w:line="276" w:lineRule="auto"/>
              <w:rPr>
                <w:b/>
                <w:bCs/>
                <w:color w:val="124F1A" w:themeColor="accent3" w:themeShade="BF"/>
              </w:rPr>
            </w:pPr>
            <w:r>
              <w:rPr>
                <w:b/>
                <w:bCs/>
                <w:color w:val="124F1A" w:themeColor="accent3" w:themeShade="BF"/>
              </w:rPr>
              <w:t>Examples of specific factors</w:t>
            </w:r>
          </w:p>
        </w:tc>
      </w:tr>
      <w:tr w:rsidR="00AE4029" w14:paraId="0036AFD3" w14:textId="77777777" w:rsidTr="006C0641">
        <w:trPr>
          <w:trHeight w:val="1040"/>
        </w:trPr>
        <w:tc>
          <w:tcPr>
            <w:tcW w:w="2388" w:type="dxa"/>
            <w:vMerge w:val="restart"/>
            <w:shd w:val="clear" w:color="auto" w:fill="FAE2D5" w:themeFill="accent2" w:themeFillTint="33"/>
          </w:tcPr>
          <w:p w14:paraId="172F05CC" w14:textId="77777777" w:rsidR="00AE4029" w:rsidRPr="00DF5EE4" w:rsidRDefault="00AE4029" w:rsidP="006C0641">
            <w:pPr>
              <w:spacing w:after="120" w:line="276" w:lineRule="auto"/>
              <w:rPr>
                <w:noProof/>
                <w:color w:val="124F1A" w:themeColor="accent3" w:themeShade="BF"/>
              </w:rPr>
            </w:pPr>
            <w:r w:rsidRPr="00A75A65">
              <w:rPr>
                <w:b/>
                <w:bCs/>
                <w:noProof/>
                <w:color w:val="124F1A" w:themeColor="accent3" w:themeShade="BF"/>
              </w:rPr>
              <w:t xml:space="preserve">School </w:t>
            </w:r>
            <w:r w:rsidRPr="00DF5EE4">
              <w:rPr>
                <w:noProof/>
                <w:color w:val="124F1A" w:themeColor="accent3" w:themeShade="BF"/>
              </w:rPr>
              <w:t>has significant power to identify triggers and make adjustments</w:t>
            </w:r>
          </w:p>
        </w:tc>
        <w:tc>
          <w:tcPr>
            <w:tcW w:w="3447" w:type="dxa"/>
            <w:shd w:val="clear" w:color="auto" w:fill="95DCF7" w:themeFill="accent4" w:themeFillTint="66"/>
          </w:tcPr>
          <w:p w14:paraId="01FE0EB9" w14:textId="77777777" w:rsidR="00AE4029" w:rsidRDefault="00AE4029" w:rsidP="006C0641">
            <w:pPr>
              <w:spacing w:line="276" w:lineRule="auto"/>
              <w:rPr>
                <w:color w:val="124F1A" w:themeColor="accent3" w:themeShade="BF"/>
              </w:rPr>
            </w:pPr>
            <w:r>
              <w:rPr>
                <w:color w:val="124F1A" w:themeColor="accent3" w:themeShade="BF"/>
              </w:rPr>
              <w:t>Push factor</w:t>
            </w:r>
          </w:p>
          <w:p w14:paraId="0A8777BF" w14:textId="77777777" w:rsidR="00AE4029" w:rsidRPr="00DF5EE4" w:rsidRDefault="00AE4029" w:rsidP="006C0641">
            <w:pPr>
              <w:spacing w:line="276" w:lineRule="auto"/>
              <w:rPr>
                <w:color w:val="124F1A" w:themeColor="accent3" w:themeShade="BF"/>
              </w:rPr>
            </w:pPr>
            <w:r w:rsidRPr="00DF5EE4">
              <w:rPr>
                <w:color w:val="124F1A" w:themeColor="accent3" w:themeShade="BF"/>
              </w:rPr>
              <w:t xml:space="preserve">1. To avoid uncomfortable feelings brought on by attending school, such as feelings of anxiety or low mood. </w:t>
            </w:r>
          </w:p>
          <w:p w14:paraId="0A099822" w14:textId="77777777" w:rsidR="00AE4029" w:rsidRPr="00DF5EE4" w:rsidRDefault="00AE4029" w:rsidP="006C0641">
            <w:pPr>
              <w:spacing w:line="276" w:lineRule="auto"/>
              <w:rPr>
                <w:noProof/>
                <w:color w:val="124F1A" w:themeColor="accent3" w:themeShade="BF"/>
              </w:rPr>
            </w:pPr>
          </w:p>
        </w:tc>
        <w:tc>
          <w:tcPr>
            <w:tcW w:w="3043" w:type="dxa"/>
            <w:shd w:val="clear" w:color="auto" w:fill="60CAF3" w:themeFill="accent4" w:themeFillTint="99"/>
          </w:tcPr>
          <w:p w14:paraId="2D1E0E3C" w14:textId="77777777" w:rsidR="00AE4029" w:rsidRPr="004A2198" w:rsidRDefault="00AE4029" w:rsidP="006C0641">
            <w:pPr>
              <w:spacing w:line="276" w:lineRule="auto"/>
              <w:rPr>
                <w:color w:val="124F1A" w:themeColor="accent3" w:themeShade="BF"/>
                <w:lang w:val="en-GB"/>
              </w:rPr>
            </w:pPr>
            <w:r w:rsidRPr="004A2198">
              <w:rPr>
                <w:b/>
                <w:bCs/>
                <w:color w:val="124F1A" w:themeColor="accent3" w:themeShade="BF"/>
                <w:lang w:val="en-GB"/>
              </w:rPr>
              <w:t>Interaction difficulties</w:t>
            </w:r>
            <w:r w:rsidRPr="004A2198">
              <w:rPr>
                <w:color w:val="124F1A" w:themeColor="accent3" w:themeShade="BF"/>
                <w:lang w:val="en-GB"/>
              </w:rPr>
              <w:t xml:space="preserve">: difficulties making and maintaining friendships </w:t>
            </w:r>
          </w:p>
          <w:p w14:paraId="7514DFB9" w14:textId="77777777" w:rsidR="00AE4029" w:rsidRPr="004A2198" w:rsidRDefault="00AE4029" w:rsidP="006C0641">
            <w:pPr>
              <w:spacing w:line="276" w:lineRule="auto"/>
              <w:rPr>
                <w:color w:val="124F1A" w:themeColor="accent3" w:themeShade="BF"/>
                <w:lang w:val="en-GB"/>
              </w:rPr>
            </w:pPr>
            <w:r w:rsidRPr="004A2198">
              <w:rPr>
                <w:b/>
                <w:bCs/>
                <w:color w:val="124F1A" w:themeColor="accent3" w:themeShade="BF"/>
                <w:lang w:val="en-GB"/>
              </w:rPr>
              <w:t xml:space="preserve">Inclusion needs: </w:t>
            </w:r>
            <w:r w:rsidRPr="004A2198">
              <w:rPr>
                <w:color w:val="124F1A" w:themeColor="accent3" w:themeShade="BF"/>
                <w:lang w:val="en-GB"/>
              </w:rPr>
              <w:t xml:space="preserve">social isolation, lack of belonging to a group </w:t>
            </w:r>
          </w:p>
          <w:p w14:paraId="3CD7C3E7" w14:textId="77777777" w:rsidR="00AE4029" w:rsidRPr="004A2198" w:rsidRDefault="00AE4029" w:rsidP="006C0641">
            <w:pPr>
              <w:spacing w:line="276" w:lineRule="auto"/>
              <w:rPr>
                <w:color w:val="124F1A" w:themeColor="accent3" w:themeShade="BF"/>
                <w:lang w:val="en-GB"/>
              </w:rPr>
            </w:pPr>
            <w:r w:rsidRPr="004A2198">
              <w:rPr>
                <w:b/>
                <w:bCs/>
                <w:color w:val="124F1A" w:themeColor="accent3" w:themeShade="BF"/>
                <w:lang w:val="en-GB"/>
              </w:rPr>
              <w:t xml:space="preserve">Expectations: </w:t>
            </w:r>
            <w:r w:rsidRPr="004A2198">
              <w:rPr>
                <w:color w:val="124F1A" w:themeColor="accent3" w:themeShade="BF"/>
                <w:lang w:val="en-GB"/>
              </w:rPr>
              <w:t xml:space="preserve">working in different groups, public speaking </w:t>
            </w:r>
          </w:p>
          <w:p w14:paraId="3C834CF6" w14:textId="77777777" w:rsidR="00AE4029" w:rsidRPr="004A2198" w:rsidRDefault="00AE4029" w:rsidP="006C0641">
            <w:pPr>
              <w:spacing w:line="276" w:lineRule="auto"/>
              <w:rPr>
                <w:color w:val="124F1A" w:themeColor="accent3" w:themeShade="BF"/>
                <w:lang w:val="en-GB"/>
              </w:rPr>
            </w:pPr>
            <w:r w:rsidRPr="004A2198">
              <w:rPr>
                <w:b/>
                <w:bCs/>
                <w:color w:val="124F1A" w:themeColor="accent3" w:themeShade="BF"/>
                <w:lang w:val="en-GB"/>
              </w:rPr>
              <w:t xml:space="preserve">Negative interactions: </w:t>
            </w:r>
            <w:r w:rsidRPr="004A2198">
              <w:rPr>
                <w:color w:val="124F1A" w:themeColor="accent3" w:themeShade="BF"/>
                <w:lang w:val="en-GB"/>
              </w:rPr>
              <w:t xml:space="preserve">bullying, poor relationship with a teacher </w:t>
            </w:r>
          </w:p>
          <w:p w14:paraId="142C3D41" w14:textId="77777777" w:rsidR="00AE4029" w:rsidRPr="00DF5EE4" w:rsidRDefault="00AE4029" w:rsidP="006C0641">
            <w:pPr>
              <w:spacing w:line="276" w:lineRule="auto"/>
              <w:rPr>
                <w:color w:val="124F1A" w:themeColor="accent3" w:themeShade="BF"/>
              </w:rPr>
            </w:pPr>
          </w:p>
        </w:tc>
      </w:tr>
      <w:tr w:rsidR="00AE4029" w14:paraId="60566352" w14:textId="77777777" w:rsidTr="006C0641">
        <w:trPr>
          <w:trHeight w:val="1040"/>
        </w:trPr>
        <w:tc>
          <w:tcPr>
            <w:tcW w:w="2388" w:type="dxa"/>
            <w:vMerge/>
            <w:shd w:val="clear" w:color="auto" w:fill="FAE2D5" w:themeFill="accent2" w:themeFillTint="33"/>
          </w:tcPr>
          <w:p w14:paraId="4D03D086" w14:textId="77777777" w:rsidR="00AE4029" w:rsidRPr="00A75A65" w:rsidRDefault="00AE4029" w:rsidP="006C0641">
            <w:pPr>
              <w:spacing w:after="120" w:line="276" w:lineRule="auto"/>
              <w:rPr>
                <w:b/>
                <w:bCs/>
                <w:noProof/>
                <w:color w:val="124F1A" w:themeColor="accent3" w:themeShade="BF"/>
              </w:rPr>
            </w:pPr>
          </w:p>
        </w:tc>
        <w:tc>
          <w:tcPr>
            <w:tcW w:w="3447" w:type="dxa"/>
            <w:shd w:val="clear" w:color="auto" w:fill="95DCF7" w:themeFill="accent4" w:themeFillTint="66"/>
          </w:tcPr>
          <w:p w14:paraId="2663783A" w14:textId="77777777" w:rsidR="00AE4029" w:rsidRPr="00DF5EE4" w:rsidRDefault="00AE4029" w:rsidP="006C0641">
            <w:pPr>
              <w:spacing w:line="276" w:lineRule="auto"/>
              <w:rPr>
                <w:color w:val="124F1A" w:themeColor="accent3" w:themeShade="BF"/>
              </w:rPr>
            </w:pPr>
            <w:r w:rsidRPr="00DF5EE4">
              <w:rPr>
                <w:color w:val="124F1A" w:themeColor="accent3" w:themeShade="BF"/>
              </w:rPr>
              <w:t xml:space="preserve">2. To avoid situations that might be stressful, such as academic demands, social pressures and/or aspects of the school environment. </w:t>
            </w:r>
          </w:p>
          <w:p w14:paraId="51081F3D" w14:textId="77777777" w:rsidR="00AE4029" w:rsidRPr="00DF5EE4" w:rsidRDefault="00AE4029" w:rsidP="006C0641">
            <w:pPr>
              <w:spacing w:line="276" w:lineRule="auto"/>
              <w:rPr>
                <w:color w:val="124F1A" w:themeColor="accent3" w:themeShade="BF"/>
              </w:rPr>
            </w:pPr>
          </w:p>
        </w:tc>
        <w:tc>
          <w:tcPr>
            <w:tcW w:w="3043" w:type="dxa"/>
            <w:shd w:val="clear" w:color="auto" w:fill="60CAF3" w:themeFill="accent4" w:themeFillTint="99"/>
          </w:tcPr>
          <w:p w14:paraId="3FA33CA7" w14:textId="77777777" w:rsidR="00AE4029" w:rsidRPr="004A2198" w:rsidRDefault="00AE4029" w:rsidP="006C0641">
            <w:pPr>
              <w:spacing w:line="276" w:lineRule="auto"/>
              <w:rPr>
                <w:color w:val="124F1A" w:themeColor="accent3" w:themeShade="BF"/>
                <w:lang w:val="en-GB"/>
              </w:rPr>
            </w:pPr>
            <w:r w:rsidRPr="004A2198">
              <w:rPr>
                <w:b/>
                <w:bCs/>
                <w:color w:val="124F1A" w:themeColor="accent3" w:themeShade="BF"/>
                <w:lang w:val="en-GB"/>
              </w:rPr>
              <w:t xml:space="preserve">Environmental: </w:t>
            </w:r>
            <w:r w:rsidRPr="004A2198">
              <w:rPr>
                <w:color w:val="124F1A" w:themeColor="accent3" w:themeShade="BF"/>
                <w:lang w:val="en-GB"/>
              </w:rPr>
              <w:t xml:space="preserve">noise, crowds, the playground, smells, sounds </w:t>
            </w:r>
          </w:p>
          <w:p w14:paraId="745AB62B" w14:textId="77777777" w:rsidR="00AE4029" w:rsidRPr="004A2198" w:rsidRDefault="00AE4029" w:rsidP="006C0641">
            <w:pPr>
              <w:spacing w:line="276" w:lineRule="auto"/>
              <w:rPr>
                <w:color w:val="124F1A" w:themeColor="accent3" w:themeShade="BF"/>
                <w:lang w:val="en-GB"/>
              </w:rPr>
            </w:pPr>
            <w:r w:rsidRPr="004A2198">
              <w:rPr>
                <w:b/>
                <w:bCs/>
                <w:color w:val="124F1A" w:themeColor="accent3" w:themeShade="BF"/>
                <w:lang w:val="en-GB"/>
              </w:rPr>
              <w:t xml:space="preserve">Learning: </w:t>
            </w:r>
            <w:r w:rsidRPr="004A2198">
              <w:rPr>
                <w:color w:val="124F1A" w:themeColor="accent3" w:themeShade="BF"/>
                <w:lang w:val="en-GB"/>
              </w:rPr>
              <w:t xml:space="preserve">reading, processing, general learning difficulties, work is too hard </w:t>
            </w:r>
          </w:p>
          <w:p w14:paraId="570B9837" w14:textId="77777777" w:rsidR="00AE4029" w:rsidRPr="004A2198" w:rsidRDefault="00AE4029" w:rsidP="006C0641">
            <w:pPr>
              <w:spacing w:line="276" w:lineRule="auto"/>
              <w:rPr>
                <w:color w:val="124F1A" w:themeColor="accent3" w:themeShade="BF"/>
                <w:lang w:val="en-GB"/>
              </w:rPr>
            </w:pPr>
            <w:r w:rsidRPr="004A2198">
              <w:rPr>
                <w:b/>
                <w:bCs/>
                <w:color w:val="124F1A" w:themeColor="accent3" w:themeShade="BF"/>
                <w:lang w:val="en-GB"/>
              </w:rPr>
              <w:t xml:space="preserve">Expectations: </w:t>
            </w:r>
            <w:r w:rsidRPr="004A2198">
              <w:rPr>
                <w:color w:val="124F1A" w:themeColor="accent3" w:themeShade="BF"/>
                <w:lang w:val="en-GB"/>
              </w:rPr>
              <w:t xml:space="preserve">exams, homework, attainment, behaviour </w:t>
            </w:r>
          </w:p>
          <w:p w14:paraId="72DB54E9" w14:textId="77777777" w:rsidR="00AE4029" w:rsidRPr="004A2198" w:rsidRDefault="00AE4029" w:rsidP="006C0641">
            <w:pPr>
              <w:spacing w:line="276" w:lineRule="auto"/>
              <w:rPr>
                <w:color w:val="124F1A" w:themeColor="accent3" w:themeShade="BF"/>
                <w:lang w:val="en-GB"/>
              </w:rPr>
            </w:pPr>
            <w:r w:rsidRPr="004A2198">
              <w:rPr>
                <w:b/>
                <w:bCs/>
                <w:color w:val="124F1A" w:themeColor="accent3" w:themeShade="BF"/>
                <w:lang w:val="en-GB"/>
              </w:rPr>
              <w:t xml:space="preserve">Transitions: </w:t>
            </w:r>
            <w:r w:rsidRPr="004A2198">
              <w:rPr>
                <w:color w:val="124F1A" w:themeColor="accent3" w:themeShade="BF"/>
                <w:lang w:val="en-GB"/>
              </w:rPr>
              <w:t xml:space="preserve">between groups, rooms, teachers </w:t>
            </w:r>
          </w:p>
          <w:p w14:paraId="6355742A" w14:textId="77777777" w:rsidR="00AE4029" w:rsidRPr="00DF5EE4" w:rsidRDefault="00AE4029" w:rsidP="006C0641">
            <w:pPr>
              <w:spacing w:line="276" w:lineRule="auto"/>
              <w:rPr>
                <w:color w:val="124F1A" w:themeColor="accent3" w:themeShade="BF"/>
              </w:rPr>
            </w:pPr>
          </w:p>
        </w:tc>
      </w:tr>
      <w:tr w:rsidR="00AE4029" w14:paraId="60B61CA9" w14:textId="77777777" w:rsidTr="006C0641">
        <w:trPr>
          <w:trHeight w:val="880"/>
        </w:trPr>
        <w:tc>
          <w:tcPr>
            <w:tcW w:w="2388" w:type="dxa"/>
            <w:vMerge w:val="restart"/>
            <w:shd w:val="clear" w:color="auto" w:fill="FAE2D5" w:themeFill="accent2" w:themeFillTint="33"/>
          </w:tcPr>
          <w:p w14:paraId="6D2D287D" w14:textId="77777777" w:rsidR="00AE4029" w:rsidRPr="00DF5EE4" w:rsidRDefault="00AE4029" w:rsidP="006C0641">
            <w:pPr>
              <w:spacing w:after="120" w:line="276" w:lineRule="auto"/>
              <w:rPr>
                <w:noProof/>
                <w:color w:val="124F1A" w:themeColor="accent3" w:themeShade="BF"/>
              </w:rPr>
            </w:pPr>
            <w:r w:rsidRPr="00A75A65">
              <w:rPr>
                <w:b/>
                <w:bCs/>
                <w:noProof/>
                <w:color w:val="124F1A" w:themeColor="accent3" w:themeShade="BF"/>
              </w:rPr>
              <w:t>Family</w:t>
            </w:r>
            <w:r w:rsidRPr="00DF5EE4">
              <w:rPr>
                <w:noProof/>
                <w:color w:val="124F1A" w:themeColor="accent3" w:themeShade="BF"/>
              </w:rPr>
              <w:t xml:space="preserve"> has significant power to identify triggers and make adjustments</w:t>
            </w:r>
          </w:p>
        </w:tc>
        <w:tc>
          <w:tcPr>
            <w:tcW w:w="3447" w:type="dxa"/>
            <w:shd w:val="clear" w:color="auto" w:fill="95DCF7" w:themeFill="accent4" w:themeFillTint="66"/>
          </w:tcPr>
          <w:p w14:paraId="78772C3B" w14:textId="77777777" w:rsidR="00AE4029" w:rsidRPr="00DF5EE4" w:rsidRDefault="00AE4029" w:rsidP="006C0641">
            <w:pPr>
              <w:spacing w:line="276" w:lineRule="auto"/>
              <w:rPr>
                <w:color w:val="124F1A" w:themeColor="accent3" w:themeShade="BF"/>
              </w:rPr>
            </w:pPr>
            <w:r w:rsidRPr="00DF5EE4">
              <w:rPr>
                <w:color w:val="124F1A" w:themeColor="accent3" w:themeShade="BF"/>
              </w:rPr>
              <w:t xml:space="preserve">3. To reduce separation anxiety or to gain attention from significant others, such as parents or other family members. </w:t>
            </w:r>
          </w:p>
          <w:p w14:paraId="0EE8D823" w14:textId="77777777" w:rsidR="00AE4029" w:rsidRPr="00DF5EE4" w:rsidRDefault="00AE4029" w:rsidP="006C0641">
            <w:pPr>
              <w:spacing w:after="120" w:line="276" w:lineRule="auto"/>
              <w:rPr>
                <w:noProof/>
                <w:color w:val="124F1A" w:themeColor="accent3" w:themeShade="BF"/>
              </w:rPr>
            </w:pPr>
          </w:p>
        </w:tc>
        <w:tc>
          <w:tcPr>
            <w:tcW w:w="3043" w:type="dxa"/>
            <w:shd w:val="clear" w:color="auto" w:fill="60CAF3" w:themeFill="accent4" w:themeFillTint="99"/>
          </w:tcPr>
          <w:p w14:paraId="15B85E34" w14:textId="77777777" w:rsidR="00AE4029" w:rsidRPr="004A2198" w:rsidRDefault="00AE4029" w:rsidP="006C0641">
            <w:pPr>
              <w:spacing w:line="276" w:lineRule="auto"/>
              <w:rPr>
                <w:color w:val="124F1A" w:themeColor="accent3" w:themeShade="BF"/>
                <w:lang w:val="en-GB"/>
              </w:rPr>
            </w:pPr>
            <w:r w:rsidRPr="004A2198">
              <w:rPr>
                <w:b/>
                <w:bCs/>
                <w:color w:val="124F1A" w:themeColor="accent3" w:themeShade="BF"/>
                <w:lang w:val="en-GB"/>
              </w:rPr>
              <w:t xml:space="preserve">Family dynamic: </w:t>
            </w:r>
            <w:r w:rsidRPr="004A2198">
              <w:rPr>
                <w:color w:val="124F1A" w:themeColor="accent3" w:themeShade="BF"/>
                <w:lang w:val="en-GB"/>
              </w:rPr>
              <w:t xml:space="preserve">recent change, separation and divorce, bereavement </w:t>
            </w:r>
          </w:p>
          <w:p w14:paraId="5D02C02A" w14:textId="77777777" w:rsidR="00AE4029" w:rsidRPr="004A2198" w:rsidRDefault="00AE4029" w:rsidP="006C0641">
            <w:pPr>
              <w:spacing w:line="276" w:lineRule="auto"/>
              <w:rPr>
                <w:color w:val="124F1A" w:themeColor="accent3" w:themeShade="BF"/>
                <w:lang w:val="en-GB"/>
              </w:rPr>
            </w:pPr>
            <w:r w:rsidRPr="004A2198">
              <w:rPr>
                <w:b/>
                <w:bCs/>
                <w:color w:val="124F1A" w:themeColor="accent3" w:themeShade="BF"/>
                <w:lang w:val="en-GB"/>
              </w:rPr>
              <w:t xml:space="preserve">Well-being concerns: </w:t>
            </w:r>
            <w:r w:rsidRPr="004A2198">
              <w:rPr>
                <w:color w:val="124F1A" w:themeColor="accent3" w:themeShade="BF"/>
                <w:lang w:val="en-GB"/>
              </w:rPr>
              <w:t xml:space="preserve">physical and mental needs of parent or sibling </w:t>
            </w:r>
          </w:p>
          <w:p w14:paraId="4D92EBD7" w14:textId="77777777" w:rsidR="00AE4029" w:rsidRPr="004A2198" w:rsidRDefault="00AE4029" w:rsidP="006C0641">
            <w:pPr>
              <w:spacing w:line="276" w:lineRule="auto"/>
              <w:rPr>
                <w:color w:val="124F1A" w:themeColor="accent3" w:themeShade="BF"/>
                <w:lang w:val="en-GB"/>
              </w:rPr>
            </w:pPr>
            <w:r w:rsidRPr="004A2198">
              <w:rPr>
                <w:b/>
                <w:bCs/>
                <w:color w:val="124F1A" w:themeColor="accent3" w:themeShade="BF"/>
                <w:lang w:val="en-GB"/>
              </w:rPr>
              <w:lastRenderedPageBreak/>
              <w:t xml:space="preserve">Safety concerns: </w:t>
            </w:r>
            <w:r w:rsidRPr="004A2198">
              <w:rPr>
                <w:color w:val="124F1A" w:themeColor="accent3" w:themeShade="BF"/>
                <w:lang w:val="en-GB"/>
              </w:rPr>
              <w:t xml:space="preserve">domestic abuse </w:t>
            </w:r>
            <w:r w:rsidRPr="004A2198">
              <w:rPr>
                <w:b/>
                <w:bCs/>
                <w:color w:val="124F1A" w:themeColor="accent3" w:themeShade="BF"/>
                <w:lang w:val="en-GB"/>
              </w:rPr>
              <w:t xml:space="preserve">Engagement: </w:t>
            </w:r>
            <w:r w:rsidRPr="004A2198">
              <w:rPr>
                <w:color w:val="124F1A" w:themeColor="accent3" w:themeShade="BF"/>
                <w:lang w:val="en-GB"/>
              </w:rPr>
              <w:t xml:space="preserve">parents or siblings are at home </w:t>
            </w:r>
          </w:p>
          <w:p w14:paraId="186E761E" w14:textId="77777777" w:rsidR="00AE4029" w:rsidRPr="00DF5EE4" w:rsidRDefault="00AE4029" w:rsidP="006C0641">
            <w:pPr>
              <w:spacing w:line="276" w:lineRule="auto"/>
              <w:rPr>
                <w:color w:val="124F1A" w:themeColor="accent3" w:themeShade="BF"/>
              </w:rPr>
            </w:pPr>
          </w:p>
        </w:tc>
      </w:tr>
      <w:tr w:rsidR="00AE4029" w14:paraId="7CB27A88" w14:textId="77777777" w:rsidTr="006C0641">
        <w:trPr>
          <w:trHeight w:val="880"/>
        </w:trPr>
        <w:tc>
          <w:tcPr>
            <w:tcW w:w="2388" w:type="dxa"/>
            <w:vMerge/>
            <w:shd w:val="clear" w:color="auto" w:fill="FAE2D5" w:themeFill="accent2" w:themeFillTint="33"/>
          </w:tcPr>
          <w:p w14:paraId="45766F56" w14:textId="77777777" w:rsidR="00AE4029" w:rsidRPr="00A75A65" w:rsidRDefault="00AE4029" w:rsidP="006C0641">
            <w:pPr>
              <w:spacing w:after="120"/>
              <w:rPr>
                <w:b/>
                <w:bCs/>
                <w:noProof/>
                <w:color w:val="124F1A" w:themeColor="accent3" w:themeShade="BF"/>
              </w:rPr>
            </w:pPr>
          </w:p>
        </w:tc>
        <w:tc>
          <w:tcPr>
            <w:tcW w:w="3447" w:type="dxa"/>
            <w:shd w:val="clear" w:color="auto" w:fill="95DCF7" w:themeFill="accent4" w:themeFillTint="66"/>
          </w:tcPr>
          <w:p w14:paraId="6B9A1E51" w14:textId="77777777" w:rsidR="00AE4029" w:rsidRPr="00DF5EE4" w:rsidRDefault="00AE4029" w:rsidP="006C0641">
            <w:pPr>
              <w:spacing w:line="276" w:lineRule="auto"/>
              <w:rPr>
                <w:color w:val="124F1A" w:themeColor="accent3" w:themeShade="BF"/>
              </w:rPr>
            </w:pPr>
            <w:r w:rsidRPr="00DF5EE4">
              <w:rPr>
                <w:color w:val="124F1A" w:themeColor="accent3" w:themeShade="BF"/>
              </w:rPr>
              <w:t>4. To pursue tangible reinforcement outside of school, such as going shopping or playing computer games during school time.</w:t>
            </w:r>
          </w:p>
        </w:tc>
        <w:tc>
          <w:tcPr>
            <w:tcW w:w="3043" w:type="dxa"/>
            <w:shd w:val="clear" w:color="auto" w:fill="60CAF3" w:themeFill="accent4" w:themeFillTint="99"/>
          </w:tcPr>
          <w:p w14:paraId="1289EEBB" w14:textId="77777777" w:rsidR="00AE4029" w:rsidRPr="004A2198" w:rsidRDefault="00AE4029" w:rsidP="006C0641">
            <w:pPr>
              <w:spacing w:line="276" w:lineRule="auto"/>
              <w:rPr>
                <w:color w:val="124F1A" w:themeColor="accent3" w:themeShade="BF"/>
                <w:lang w:val="en-GB"/>
              </w:rPr>
            </w:pPr>
            <w:r w:rsidRPr="004A2198">
              <w:rPr>
                <w:b/>
                <w:bCs/>
                <w:color w:val="124F1A" w:themeColor="accent3" w:themeShade="BF"/>
                <w:lang w:val="en-GB"/>
              </w:rPr>
              <w:t>Activities</w:t>
            </w:r>
            <w:r>
              <w:rPr>
                <w:b/>
                <w:bCs/>
                <w:color w:val="124F1A" w:themeColor="accent3" w:themeShade="BF"/>
                <w:lang w:val="en-GB"/>
              </w:rPr>
              <w:t xml:space="preserve">: </w:t>
            </w:r>
            <w:r w:rsidRPr="004A2198">
              <w:rPr>
                <w:color w:val="124F1A" w:themeColor="accent3" w:themeShade="BF"/>
                <w:lang w:val="en-GB"/>
              </w:rPr>
              <w:t xml:space="preserve">watching TV, playing computer games </w:t>
            </w:r>
            <w:r w:rsidRPr="004A2198">
              <w:rPr>
                <w:b/>
                <w:bCs/>
                <w:color w:val="124F1A" w:themeColor="accent3" w:themeShade="BF"/>
                <w:lang w:val="en-GB"/>
              </w:rPr>
              <w:t xml:space="preserve">Engagement: </w:t>
            </w:r>
            <w:r w:rsidRPr="004A2198">
              <w:rPr>
                <w:color w:val="124F1A" w:themeColor="accent3" w:themeShade="BF"/>
                <w:lang w:val="en-GB"/>
              </w:rPr>
              <w:t xml:space="preserve">spending time with a friend </w:t>
            </w:r>
          </w:p>
          <w:p w14:paraId="50984596" w14:textId="77777777" w:rsidR="00AE4029" w:rsidRPr="00DF5EE4" w:rsidRDefault="00AE4029" w:rsidP="006C0641">
            <w:pPr>
              <w:spacing w:line="276" w:lineRule="auto"/>
              <w:rPr>
                <w:color w:val="124F1A" w:themeColor="accent3" w:themeShade="BF"/>
              </w:rPr>
            </w:pPr>
          </w:p>
        </w:tc>
      </w:tr>
    </w:tbl>
    <w:p w14:paraId="6613BAF3" w14:textId="77777777" w:rsidR="00AE4029" w:rsidRDefault="00AE4029" w:rsidP="00AE4029">
      <w:pPr>
        <w:spacing w:after="120"/>
        <w:rPr>
          <w:noProof/>
        </w:rPr>
      </w:pPr>
      <w:r w:rsidRPr="00767205">
        <w:rPr>
          <w:noProof/>
        </w:rPr>
        <w:t xml:space="preserve"> </w:t>
      </w:r>
    </w:p>
    <w:p w14:paraId="1DF7ECBF" w14:textId="77777777" w:rsidR="00AE4029" w:rsidRPr="004D1F5B" w:rsidRDefault="00AE4029" w:rsidP="00AE4029">
      <w:pPr>
        <w:spacing w:before="120" w:after="0" w:line="276" w:lineRule="auto"/>
        <w:jc w:val="both"/>
      </w:pPr>
      <w:r w:rsidRPr="004D1F5B">
        <w:t xml:space="preserve">While children and young people experiencing </w:t>
      </w:r>
      <w:r>
        <w:t>EBSNA</w:t>
      </w:r>
      <w:r w:rsidRPr="004D1F5B">
        <w:t xml:space="preserve"> require treatment and internal change, schools and families</w:t>
      </w:r>
      <w:r>
        <w:t xml:space="preserve"> also</w:t>
      </w:r>
      <w:r w:rsidRPr="004D1F5B">
        <w:t xml:space="preserve"> hold significant influence in driving change. By understanding the individual "push" and "pull" factors that affect a child's school attendance, strategies can be developed to encourage their return to school. This may involve increasing support, making reasonable adjustments, or implementing targeted interventions.</w:t>
      </w:r>
      <w:r>
        <w:t xml:space="preserve"> Please note, a school’s adaptability of support systems, curriculum demands and behaviour approaches </w:t>
      </w:r>
      <w:proofErr w:type="gramStart"/>
      <w:r>
        <w:t>in light of</w:t>
      </w:r>
      <w:proofErr w:type="gramEnd"/>
      <w:r>
        <w:t xml:space="preserve"> potential SEN can be pivotal in averting cases of EBSNA.</w:t>
      </w:r>
    </w:p>
    <w:p w14:paraId="74937C65" w14:textId="77777777" w:rsidR="00825126" w:rsidRDefault="00825126"/>
    <w:sectPr w:rsidR="00825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29"/>
    <w:rsid w:val="00246C8E"/>
    <w:rsid w:val="002F0842"/>
    <w:rsid w:val="006F36EB"/>
    <w:rsid w:val="00825126"/>
    <w:rsid w:val="00A746D7"/>
    <w:rsid w:val="00A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B16B6"/>
  <w15:chartTrackingRefBased/>
  <w15:docId w15:val="{8E1C142E-1AD8-8A4B-B283-76F5E815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29"/>
    <w:pPr>
      <w:spacing w:after="180" w:line="27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0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0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0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0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0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0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0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0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0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0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0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4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02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4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02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4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02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4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0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4029"/>
    <w:pPr>
      <w:spacing w:after="200" w:line="276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Bell</dc:creator>
  <cp:keywords/>
  <dc:description/>
  <cp:lastModifiedBy>Tara Bell</cp:lastModifiedBy>
  <cp:revision>1</cp:revision>
  <dcterms:created xsi:type="dcterms:W3CDTF">2025-08-28T10:46:00Z</dcterms:created>
  <dcterms:modified xsi:type="dcterms:W3CDTF">2025-08-28T10:47:00Z</dcterms:modified>
</cp:coreProperties>
</file>